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100" w:after="80"/>
      </w:pPr>
      <w:r>
        <w:rPr>
          <w:rFonts w:ascii="Aptos Display" w:hAnsi="Aptos Display"/>
          <w:b/>
          <w:color w:val="0FA4AF"/>
          <w:sz w:val="92"/>
        </w:rPr>
        <w:t>ARF</w:t>
      </w:r>
      <w:r>
        <w:rPr>
          <w:rFonts w:ascii="Aptos Display" w:hAnsi="Aptos Display"/>
          <w:b/>
          <w:color w:val="003135"/>
          <w:sz w:val="92"/>
        </w:rPr>
        <w:t xml:space="preserve"> SERVICES</w:t>
      </w:r>
    </w:p>
    <w:p>
      <w:pPr>
        <w:spacing w:after="360"/>
      </w:pPr>
      <w:r>
        <w:rPr>
          <w:rFonts w:ascii="Aptos" w:hAnsi="Aptos"/>
          <w:color w:val="43525E"/>
          <w:sz w:val="34"/>
        </w:rPr>
        <w:t>Industrial Automation  •  IoT  •  Technical Services</w:t>
      </w:r>
    </w:p>
    <w:tbl>
      <w:tblPr>
        <w:tblW w:type="auto" w:w="0"/>
        <w:jc w:val="left"/>
        <w:tblLayout w:type="fixed"/>
        <w:tblLook w:firstColumn="1" w:firstRow="1" w:lastColumn="0" w:lastRow="0" w:noHBand="0" w:noVBand="1" w:val="04A0"/>
      </w:tblPr>
      <w:tblGrid>
        <w:gridCol w:w="3346"/>
        <w:gridCol w:w="3346"/>
        <w:gridCol w:w="3346"/>
      </w:tblGrid>
      <w:tr>
        <w:tc>
          <w:tcPr>
            <w:tcW w:type="dxa" w:w="1440"/>
            <w:shd w:fill="0FA4AF"/>
            <w:tcMar>
              <w:top w:w="0" w:type="dxa"/>
              <w:start w:w="0" w:type="dxa"/>
              <w:bottom w:w="0" w:type="dxa"/>
              <w:end w:w="0" w:type="dxa"/>
            </w:tcMar>
          </w:tcPr>
          <w:p/>
        </w:tc>
        <w:tc>
          <w:tcPr>
            <w:tcW w:type="dxa" w:w="1440"/>
            <w:shd w:fill="964734"/>
            <w:tcMar>
              <w:top w:w="0" w:type="dxa"/>
              <w:start w:w="0" w:type="dxa"/>
              <w:bottom w:w="0" w:type="dxa"/>
              <w:end w:w="0" w:type="dxa"/>
            </w:tcMar>
          </w:tcPr>
          <w:p/>
        </w:tc>
        <w:tc>
          <w:tcPr>
            <w:tcW w:type="dxa" w:w="6048"/>
            <w:shd w:fill="AFDDE5"/>
            <w:tcMar>
              <w:top w:w="0" w:type="dxa"/>
              <w:start w:w="0" w:type="dxa"/>
              <w:bottom w:w="0" w:type="dxa"/>
              <w:end w:w="0" w:type="dxa"/>
            </w:tcMar>
          </w:tcPr>
          <w:p/>
        </w:tc>
      </w:tr>
    </w:tbl>
    <w:p>
      <w:pPr>
        <w:spacing w:before="720" w:after="200"/>
      </w:pPr>
      <w:r>
        <w:rPr>
          <w:rFonts w:ascii="Aptos" w:hAnsi="Aptos"/>
          <w:b/>
          <w:color w:val="003135"/>
          <w:sz w:val="30"/>
        </w:rPr>
        <w:t>LOCAL CAPABILITY. GLOBAL TECHNOLOGY.</w:t>
      </w:r>
    </w:p>
    <w:p>
      <w:pPr>
        <w:spacing w:after="100" w:line="252" w:lineRule="auto"/>
      </w:pPr>
      <w:r>
        <w:rPr>
          <w:rFonts w:ascii="Aptos" w:hAnsi="Aptos"/>
          <w:color w:val="28323C"/>
          <w:sz w:val="19"/>
        </w:rPr>
        <w:t>ARF Services is being developed as a Mozambique-based engineering and technology services business focused on industrial automation, field technical support, industrial IoT, and local after-sales capability for global OEMs.</w:t>
      </w:r>
    </w:p>
    <w:tbl>
      <w:tblPr>
        <w:tblW w:type="auto" w:w="0"/>
        <w:jc w:val="left"/>
        <w:tblLayout w:type="fixed"/>
        <w:tblLook w:firstColumn="1" w:firstRow="1" w:lastColumn="0" w:lastRow="0" w:noHBand="0" w:noVBand="1" w:val="04A0"/>
      </w:tblPr>
      <w:tblGrid>
        <w:gridCol w:w="5018"/>
        <w:gridCol w:w="5018"/>
      </w:tblGrid>
      <w:tr>
        <w:tc>
          <w:tcPr>
            <w:tcW w:type="dxa" w:w="2304"/>
            <w:shd w:fill="003135"/>
            <w:tcMar>
              <w:top w:w="100" w:type="dxa"/>
              <w:start w:w="140" w:type="dxa"/>
              <w:bottom w:w="100" w:type="dxa"/>
              <w:end w:w="140" w:type="dxa"/>
            </w:tcMar>
          </w:tcPr>
          <w:p>
            <w:r>
              <w:rPr>
                <w:rFonts w:ascii="Aptos" w:hAnsi="Aptos"/>
                <w:b/>
                <w:color w:val="FFFFFF"/>
                <w:sz w:val="18"/>
              </w:rPr>
              <w:t>Base</w:t>
            </w:r>
          </w:p>
        </w:tc>
        <w:tc>
          <w:tcPr>
            <w:tcW w:type="dxa" w:w="6912"/>
            <w:shd w:fill="F5F8FA"/>
            <w:tcMar>
              <w:top w:w="100" w:type="dxa"/>
              <w:start w:w="140" w:type="dxa"/>
              <w:bottom w:w="100" w:type="dxa"/>
              <w:end w:w="140" w:type="dxa"/>
            </w:tcMar>
          </w:tcPr>
          <w:p>
            <w:r>
              <w:rPr>
                <w:rFonts w:ascii="Aptos" w:hAnsi="Aptos"/>
                <w:color w:val="323C46"/>
                <w:sz w:val="18"/>
              </w:rPr>
              <w:t>Nampula, Mozambique</w:t>
            </w:r>
          </w:p>
        </w:tc>
      </w:tr>
      <w:tr>
        <w:tc>
          <w:tcPr>
            <w:tcW w:type="dxa" w:w="2304"/>
            <w:shd w:fill="003135"/>
            <w:tcMar>
              <w:top w:w="100" w:type="dxa"/>
              <w:start w:w="140" w:type="dxa"/>
              <w:bottom w:w="100" w:type="dxa"/>
              <w:end w:w="140" w:type="dxa"/>
            </w:tcMar>
          </w:tcPr>
          <w:p>
            <w:r>
              <w:rPr>
                <w:rFonts w:ascii="Aptos" w:hAnsi="Aptos"/>
                <w:b/>
                <w:color w:val="FFFFFF"/>
                <w:sz w:val="18"/>
              </w:rPr>
              <w:t>Founder / Lead Engineer</w:t>
            </w:r>
          </w:p>
        </w:tc>
        <w:tc>
          <w:tcPr>
            <w:tcW w:type="dxa" w:w="6912"/>
            <w:shd w:fill="F5F8FA"/>
            <w:tcMar>
              <w:top w:w="100" w:type="dxa"/>
              <w:start w:w="140" w:type="dxa"/>
              <w:bottom w:w="100" w:type="dxa"/>
              <w:end w:w="140" w:type="dxa"/>
            </w:tcMar>
          </w:tcPr>
          <w:p>
            <w:r>
              <w:rPr>
                <w:rFonts w:ascii="Aptos" w:hAnsi="Aptos"/>
                <w:color w:val="323C46"/>
                <w:sz w:val="18"/>
              </w:rPr>
              <w:t>Syed Arif Hussain - B.E. Electronics</w:t>
            </w:r>
          </w:p>
        </w:tc>
      </w:tr>
      <w:tr>
        <w:tc>
          <w:tcPr>
            <w:tcW w:type="dxa" w:w="2304"/>
            <w:shd w:fill="003135"/>
            <w:tcMar>
              <w:top w:w="100" w:type="dxa"/>
              <w:start w:w="140" w:type="dxa"/>
              <w:bottom w:w="100" w:type="dxa"/>
              <w:end w:w="140" w:type="dxa"/>
            </w:tcMar>
          </w:tcPr>
          <w:p>
            <w:r>
              <w:rPr>
                <w:rFonts w:ascii="Aptos" w:hAnsi="Aptos"/>
                <w:b/>
                <w:color w:val="FFFFFF"/>
                <w:sz w:val="18"/>
              </w:rPr>
              <w:t>Primary Focus</w:t>
            </w:r>
          </w:p>
        </w:tc>
        <w:tc>
          <w:tcPr>
            <w:tcW w:type="dxa" w:w="6912"/>
            <w:shd w:fill="F5F8FA"/>
            <w:tcMar>
              <w:top w:w="100" w:type="dxa"/>
              <w:start w:w="140" w:type="dxa"/>
              <w:bottom w:w="100" w:type="dxa"/>
              <w:end w:w="140" w:type="dxa"/>
            </w:tcMar>
          </w:tcPr>
          <w:p>
            <w:r>
              <w:rPr>
                <w:rFonts w:ascii="Aptos" w:hAnsi="Aptos"/>
                <w:color w:val="323C46"/>
                <w:sz w:val="18"/>
              </w:rPr>
              <w:t>Automation, IoT, commissioning, troubleshooting &amp; spare-parts support</w:t>
            </w:r>
          </w:p>
        </w:tc>
      </w:tr>
      <w:tr>
        <w:tc>
          <w:tcPr>
            <w:tcW w:type="dxa" w:w="2304"/>
            <w:shd w:fill="003135"/>
            <w:tcMar>
              <w:top w:w="100" w:type="dxa"/>
              <w:start w:w="140" w:type="dxa"/>
              <w:bottom w:w="100" w:type="dxa"/>
              <w:end w:w="140" w:type="dxa"/>
            </w:tcMar>
          </w:tcPr>
          <w:p>
            <w:r>
              <w:rPr>
                <w:rFonts w:ascii="Aptos" w:hAnsi="Aptos"/>
                <w:b/>
                <w:color w:val="FFFFFF"/>
                <w:sz w:val="18"/>
              </w:rPr>
              <w:t>Website</w:t>
            </w:r>
          </w:p>
        </w:tc>
        <w:tc>
          <w:tcPr>
            <w:tcW w:type="dxa" w:w="6912"/>
            <w:shd w:fill="F5F8FA"/>
            <w:tcMar>
              <w:top w:w="100" w:type="dxa"/>
              <w:start w:w="140" w:type="dxa"/>
              <w:bottom w:w="100" w:type="dxa"/>
              <w:end w:w="140" w:type="dxa"/>
            </w:tcMar>
          </w:tcPr>
          <w:p>
            <w:r>
              <w:rPr>
                <w:rFonts w:ascii="Aptos" w:hAnsi="Aptos"/>
                <w:color w:val="323C46"/>
                <w:sz w:val="18"/>
              </w:rPr>
              <w:t>In development</w:t>
            </w:r>
          </w:p>
        </w:tc>
      </w:tr>
    </w:tbl>
    <w:p>
      <w:r>
        <w:br w:type="page"/>
      </w:r>
    </w:p>
    <w:p>
      <w:pPr>
        <w:spacing w:before="80" w:after="160"/>
      </w:pPr>
      <w:r>
        <w:rPr>
          <w:rFonts w:ascii="Aptos Display" w:hAnsi="Aptos Display"/>
          <w:b/>
          <w:color w:val="003135"/>
          <w:sz w:val="44"/>
        </w:rPr>
        <w:t>1. Company Overview</w:t>
      </w:r>
    </w:p>
    <w:p>
      <w:pPr>
        <w:spacing w:after="200"/>
      </w:pPr>
      <w:r>
        <w:rPr>
          <w:rFonts w:ascii="Aptos" w:hAnsi="Aptos"/>
          <w:color w:val="4A5E6F"/>
          <w:sz w:val="20"/>
        </w:rPr>
        <w:t>A practical local engineering partner for industrial customers and global technology manufacturers.</w:t>
      </w:r>
    </w:p>
    <w:p>
      <w:pPr>
        <w:spacing w:before="160" w:after="100"/>
      </w:pPr>
      <w:r>
        <w:rPr>
          <w:rFonts w:ascii="Aptos" w:hAnsi="Aptos"/>
          <w:b/>
          <w:color w:val="0FA4AF"/>
          <w:sz w:val="22"/>
        </w:rPr>
        <w:t>WHO WE ARE</w:t>
      </w:r>
    </w:p>
    <w:p>
      <w:pPr>
        <w:spacing w:after="100" w:line="252" w:lineRule="auto"/>
      </w:pPr>
      <w:r>
        <w:rPr>
          <w:rFonts w:ascii="Aptos" w:hAnsi="Aptos"/>
          <w:color w:val="28323C"/>
          <w:sz w:val="19"/>
        </w:rPr>
        <w:t>ARF Services is an emerging engineering and technology services business based in Nampula, Mozambique. The business is being built around a simple market need: industrial customers increasingly depend on imported automation and production equipment, while qualified local commissioning, troubleshooting, maintenance, and genuine spare-parts support can be difficult to access quickly.</w:t>
      </w:r>
    </w:p>
    <w:p>
      <w:pPr>
        <w:spacing w:after="100" w:line="252" w:lineRule="auto"/>
      </w:pPr>
      <w:r>
        <w:rPr>
          <w:rFonts w:ascii="Aptos" w:hAnsi="Aptos"/>
          <w:color w:val="28323C"/>
          <w:sz w:val="19"/>
        </w:rPr>
        <w:t>Our operating model combines local customer access with OEM technical support. ARF Services aims to become the first-line engineering interface in Mozambique - supporting customers on site, coordinating with manufacturer engineers for advanced cases, and developing a reliable local spare-parts and after-sales capability.</w:t>
      </w:r>
    </w:p>
    <w:p>
      <w:pPr>
        <w:spacing w:before="160" w:after="100"/>
      </w:pPr>
      <w:r>
        <w:rPr>
          <w:rFonts w:ascii="Aptos" w:hAnsi="Aptos"/>
          <w:b/>
          <w:color w:val="0FA4AF"/>
          <w:sz w:val="22"/>
        </w:rPr>
        <w:t>MISSION</w:t>
      </w:r>
    </w:p>
    <w:p>
      <w:pPr>
        <w:spacing w:after="100" w:line="252" w:lineRule="auto"/>
      </w:pPr>
      <w:r>
        <w:rPr>
          <w:rFonts w:ascii="Aptos" w:hAnsi="Aptos"/>
          <w:color w:val="28323C"/>
          <w:sz w:val="19"/>
        </w:rPr>
        <w:t>To reduce industrial downtime in Mozambique by providing responsive local technical support, trusted automation products, and practical integration between global OEM technology and local end users.</w:t>
      </w:r>
    </w:p>
    <w:p>
      <w:pPr>
        <w:spacing w:before="160" w:after="100"/>
      </w:pPr>
      <w:r>
        <w:rPr>
          <w:rFonts w:ascii="Aptos" w:hAnsi="Aptos"/>
          <w:b/>
          <w:color w:val="0FA4AF"/>
          <w:sz w:val="22"/>
        </w:rPr>
        <w:t>CORE VALUE PROPOSITION</w:t>
      </w:r>
    </w:p>
    <w:tbl>
      <w:tblPr>
        <w:tblW w:type="auto" w:w="0"/>
        <w:jc w:val="center"/>
        <w:tblLayout w:type="fixed"/>
        <w:tblLook w:firstColumn="1" w:firstRow="1" w:lastColumn="0" w:lastRow="0" w:noHBand="0" w:noVBand="1" w:val="04A0"/>
      </w:tblPr>
      <w:tblGrid>
        <w:gridCol w:w="5018"/>
        <w:gridCol w:w="5018"/>
      </w:tblGrid>
      <w:tr>
        <w:tc>
          <w:tcPr>
            <w:tcW w:type="dxa" w:w="4536"/>
            <w:shd w:fill="F4F8FB"/>
            <w:tcMar>
              <w:top w:w="130" w:type="dxa"/>
              <w:start w:w="160" w:type="dxa"/>
              <w:bottom w:w="130" w:type="dxa"/>
              <w:end w:w="160" w:type="dxa"/>
            </w:tcMar>
            <w:tcBorders>
              <w:top w:val="single" w:sz="5" w:color="D9E6EF"/>
              <w:left w:val="single" w:sz="5" w:color="D9E6EF"/>
              <w:bottom w:val="single" w:sz="5" w:color="D9E6EF"/>
              <w:right w:val="single" w:sz="5" w:color="D9E6EF"/>
            </w:tcBorders>
          </w:tcPr>
          <w:p>
            <w:pPr>
              <w:spacing w:after="60"/>
            </w:pPr>
            <w:r>
              <w:rPr>
                <w:rFonts w:ascii="Aptos" w:hAnsi="Aptos"/>
                <w:b/>
                <w:color w:val="003135"/>
                <w:sz w:val="21"/>
              </w:rPr>
              <w:t>LOCAL RESPONSE</w:t>
            </w:r>
          </w:p>
          <w:p>
            <w:pPr>
              <w:spacing w:after="0"/>
            </w:pPr>
            <w:r>
              <w:rPr>
                <w:rFonts w:ascii="Aptos" w:hAnsi="Aptos"/>
                <w:color w:val="46505A"/>
                <w:sz w:val="17"/>
              </w:rPr>
              <w:t>On-site customer access in Mozambique for site surveys, first-line troubleshooting, maintenance coordination and project follow-up.</w:t>
            </w:r>
          </w:p>
        </w:tc>
        <w:tc>
          <w:tcPr>
            <w:tcW w:type="dxa" w:w="4536"/>
            <w:shd w:fill="F4F8FB"/>
            <w:tcMar>
              <w:top w:w="130" w:type="dxa"/>
              <w:start w:w="160" w:type="dxa"/>
              <w:bottom w:w="130" w:type="dxa"/>
              <w:end w:w="160" w:type="dxa"/>
            </w:tcMar>
            <w:tcBorders>
              <w:top w:val="single" w:sz="5" w:color="D9E6EF"/>
              <w:left w:val="single" w:sz="5" w:color="D9E6EF"/>
              <w:bottom w:val="single" w:sz="5" w:color="D9E6EF"/>
              <w:right w:val="single" w:sz="5" w:color="D9E6EF"/>
            </w:tcBorders>
          </w:tcPr>
          <w:p>
            <w:pPr>
              <w:spacing w:after="60"/>
            </w:pPr>
            <w:r>
              <w:rPr>
                <w:rFonts w:ascii="Aptos" w:hAnsi="Aptos"/>
                <w:b/>
                <w:color w:val="003135"/>
                <w:sz w:val="21"/>
              </w:rPr>
              <w:t>OEM-BACKED SUPPORT</w:t>
            </w:r>
          </w:p>
          <w:p>
            <w:pPr>
              <w:spacing w:after="0"/>
            </w:pPr>
            <w:r>
              <w:rPr>
                <w:rFonts w:ascii="Aptos" w:hAnsi="Aptos"/>
                <w:color w:val="46505A"/>
                <w:sz w:val="17"/>
              </w:rPr>
              <w:t>A partnership model designed around manufacturer training, technical documentation, remote engineering escalation and genuine parts.</w:t>
            </w:r>
          </w:p>
        </w:tc>
      </w:tr>
      <w:tr>
        <w:tc>
          <w:tcPr>
            <w:tcW w:type="dxa" w:w="4536"/>
            <w:shd w:fill="F4F8FB"/>
            <w:tcMar>
              <w:top w:w="130" w:type="dxa"/>
              <w:start w:w="160" w:type="dxa"/>
              <w:bottom w:w="130" w:type="dxa"/>
              <w:end w:w="160" w:type="dxa"/>
            </w:tcMar>
            <w:tcBorders>
              <w:top w:val="single" w:sz="5" w:color="D9E6EF"/>
              <w:left w:val="single" w:sz="5" w:color="D9E6EF"/>
              <w:bottom w:val="single" w:sz="5" w:color="D9E6EF"/>
              <w:right w:val="single" w:sz="5" w:color="D9E6EF"/>
            </w:tcBorders>
          </w:tcPr>
          <w:p>
            <w:pPr>
              <w:spacing w:after="60"/>
            </w:pPr>
            <w:r>
              <w:rPr>
                <w:rFonts w:ascii="Aptos" w:hAnsi="Aptos"/>
                <w:b/>
                <w:color w:val="003135"/>
                <w:sz w:val="21"/>
              </w:rPr>
              <w:t>ENGINEERING + IoT</w:t>
            </w:r>
          </w:p>
          <w:p>
            <w:pPr>
              <w:spacing w:after="0"/>
            </w:pPr>
            <w:r>
              <w:rPr>
                <w:rFonts w:ascii="Aptos" w:hAnsi="Aptos"/>
                <w:color w:val="46505A"/>
                <w:sz w:val="17"/>
              </w:rPr>
              <w:t>Electronics, automation and connected-system capability that can bridge plant equipment with modern monitoring and data services.</w:t>
            </w:r>
          </w:p>
        </w:tc>
        <w:tc>
          <w:tcPr>
            <w:tcW w:type="dxa" w:w="4536"/>
            <w:shd w:fill="F4F8FB"/>
            <w:tcMar>
              <w:top w:w="130" w:type="dxa"/>
              <w:start w:w="160" w:type="dxa"/>
              <w:bottom w:w="130" w:type="dxa"/>
              <w:end w:w="160" w:type="dxa"/>
            </w:tcMar>
            <w:tcBorders>
              <w:top w:val="single" w:sz="5" w:color="D9E6EF"/>
              <w:left w:val="single" w:sz="5" w:color="D9E6EF"/>
              <w:bottom w:val="single" w:sz="5" w:color="D9E6EF"/>
              <w:right w:val="single" w:sz="5" w:color="D9E6EF"/>
            </w:tcBorders>
          </w:tcPr>
          <w:p>
            <w:pPr>
              <w:spacing w:after="60"/>
            </w:pPr>
            <w:r>
              <w:rPr>
                <w:rFonts w:ascii="Aptos" w:hAnsi="Aptos"/>
                <w:b/>
                <w:color w:val="003135"/>
                <w:sz w:val="21"/>
              </w:rPr>
              <w:t>LONG-TERM AFTER-SALES</w:t>
            </w:r>
          </w:p>
          <w:p>
            <w:pPr>
              <w:spacing w:after="0"/>
            </w:pPr>
            <w:r>
              <w:rPr>
                <w:rFonts w:ascii="Aptos" w:hAnsi="Aptos"/>
                <w:color w:val="46505A"/>
                <w:sz w:val="17"/>
              </w:rPr>
              <w:t>Focus on recurring service, lifecycle support, spare parts and customer relationships - not equipment trading alone.</w:t>
            </w:r>
          </w:p>
        </w:tc>
      </w:tr>
    </w:tbl>
    <w:p>
      <w:pPr>
        <w:spacing w:before="160" w:after="100"/>
      </w:pPr>
      <w:r>
        <w:rPr>
          <w:rFonts w:ascii="Aptos" w:hAnsi="Aptos"/>
          <w:b/>
          <w:color w:val="0FA4AF"/>
          <w:sz w:val="22"/>
        </w:rPr>
        <w:t>INITIAL GEOGRAPHIC FOCUS</w:t>
      </w:r>
    </w:p>
    <w:p>
      <w:pPr>
        <w:spacing w:after="100" w:line="252" w:lineRule="auto"/>
      </w:pPr>
      <w:r>
        <w:rPr>
          <w:rFonts w:ascii="Aptos" w:hAnsi="Aptos"/>
          <w:color w:val="28323C"/>
          <w:sz w:val="19"/>
        </w:rPr>
        <w:t>Initial service development is focused on Nampula, Nacala and Northern Mozambique, with a planned expansion toward national industrial corridors and cross-border coordination with Southern African OEM offices and technical partners.</w:t>
      </w:r>
    </w:p>
    <w:p>
      <w:r>
        <w:br w:type="page"/>
      </w:r>
    </w:p>
    <w:p>
      <w:pPr>
        <w:spacing w:before="80" w:after="160"/>
      </w:pPr>
      <w:r>
        <w:rPr>
          <w:rFonts w:ascii="Aptos Display" w:hAnsi="Aptos Display"/>
          <w:b/>
          <w:color w:val="003135"/>
          <w:sz w:val="44"/>
        </w:rPr>
        <w:t>2. Services &amp; Technical Scope</w:t>
      </w:r>
    </w:p>
    <w:p>
      <w:pPr>
        <w:spacing w:after="200"/>
      </w:pPr>
      <w:r>
        <w:rPr>
          <w:rFonts w:ascii="Aptos" w:hAnsi="Aptos"/>
          <w:color w:val="4A5E6F"/>
          <w:sz w:val="20"/>
        </w:rPr>
        <w:t>Capabilities are developed in phases and expanded through OEM training, certification and real project experience.</w:t>
      </w:r>
    </w:p>
    <w:p>
      <w:pPr>
        <w:spacing w:before="160" w:after="100"/>
      </w:pPr>
      <w:r>
        <w:rPr>
          <w:rFonts w:ascii="Aptos" w:hAnsi="Aptos"/>
          <w:b/>
          <w:color w:val="0FA4AF"/>
          <w:sz w:val="22"/>
        </w:rPr>
        <w:t>INDUSTRIAL AUTOMATION &amp; CONTROLS</w:t>
      </w:r>
    </w:p>
    <w:p>
      <w:pPr>
        <w:pStyle w:val="ListBullet"/>
        <w:spacing w:after="40"/>
      </w:pPr>
      <w:r>
        <w:rPr>
          <w:rFonts w:ascii="Aptos" w:hAnsi="Aptos"/>
          <w:sz w:val="19"/>
        </w:rPr>
        <w:t>PLC, HMI, DCS, SCADA and control-system support</w:t>
      </w:r>
    </w:p>
    <w:p>
      <w:pPr>
        <w:pStyle w:val="ListBullet"/>
        <w:spacing w:after="40"/>
      </w:pPr>
      <w:r>
        <w:rPr>
          <w:rFonts w:ascii="Aptos" w:hAnsi="Aptos"/>
          <w:sz w:val="19"/>
        </w:rPr>
        <w:t>VFD, motor-drive, servo and motion-control support</w:t>
      </w:r>
    </w:p>
    <w:p>
      <w:pPr>
        <w:pStyle w:val="ListBullet"/>
        <w:spacing w:after="40"/>
      </w:pPr>
      <w:r>
        <w:rPr>
          <w:rFonts w:ascii="Aptos" w:hAnsi="Aptos"/>
          <w:sz w:val="19"/>
        </w:rPr>
        <w:t>Control-panel inspection, I/O and field-signal troubleshooting</w:t>
      </w:r>
    </w:p>
    <w:p>
      <w:pPr>
        <w:pStyle w:val="ListBullet"/>
        <w:spacing w:after="40"/>
      </w:pPr>
      <w:r>
        <w:rPr>
          <w:rFonts w:ascii="Aptos" w:hAnsi="Aptos"/>
          <w:sz w:val="19"/>
        </w:rPr>
        <w:t>Industrial communications including Ethernet, RS-485 and Modbus-based systems</w:t>
      </w:r>
    </w:p>
    <w:p>
      <w:pPr>
        <w:pStyle w:val="ListBullet"/>
        <w:spacing w:after="40"/>
      </w:pPr>
      <w:r>
        <w:rPr>
          <w:rFonts w:ascii="Aptos" w:hAnsi="Aptos"/>
          <w:sz w:val="19"/>
        </w:rPr>
        <w:t>Sensors, transmitters, instrumentation and basic signal-loop troubleshooting</w:t>
      </w:r>
    </w:p>
    <w:p>
      <w:pPr>
        <w:pStyle w:val="ListBullet"/>
        <w:spacing w:after="40"/>
      </w:pPr>
      <w:r>
        <w:rPr>
          <w:rFonts w:ascii="Aptos" w:hAnsi="Aptos"/>
          <w:sz w:val="19"/>
        </w:rPr>
        <w:t>Installation support, commissioning assistance and retrofit coordination</w:t>
      </w:r>
    </w:p>
    <w:p>
      <w:pPr>
        <w:pStyle w:val="ListBullet"/>
        <w:spacing w:after="40"/>
      </w:pPr>
      <w:r>
        <w:rPr>
          <w:rFonts w:ascii="Aptos" w:hAnsi="Aptos"/>
          <w:sz w:val="19"/>
        </w:rPr>
        <w:t>Preventive maintenance and first-line fault diagnosis</w:t>
      </w:r>
    </w:p>
    <w:p>
      <w:pPr>
        <w:pStyle w:val="ListBullet"/>
        <w:spacing w:after="40"/>
      </w:pPr>
      <w:r>
        <w:rPr>
          <w:rFonts w:ascii="Aptos" w:hAnsi="Aptos"/>
          <w:sz w:val="19"/>
        </w:rPr>
        <w:t>Remote escalation to OEM engineers for advanced technical cases</w:t>
      </w:r>
    </w:p>
    <w:p>
      <w:pPr>
        <w:spacing w:before="160" w:after="100"/>
      </w:pPr>
      <w:r>
        <w:rPr>
          <w:rFonts w:ascii="Aptos" w:hAnsi="Aptos"/>
          <w:b/>
          <w:color w:val="0FA4AF"/>
          <w:sz w:val="22"/>
        </w:rPr>
        <w:t>INDUSTRIAL IOT &amp; CONNECTED SYSTEMS</w:t>
      </w:r>
    </w:p>
    <w:p>
      <w:pPr>
        <w:pStyle w:val="ListBullet"/>
        <w:spacing w:after="40"/>
      </w:pPr>
      <w:r>
        <w:rPr>
          <w:rFonts w:ascii="Aptos" w:hAnsi="Aptos"/>
          <w:sz w:val="19"/>
        </w:rPr>
        <w:t>Remote equipment and asset monitoring concepts</w:t>
      </w:r>
    </w:p>
    <w:p>
      <w:pPr>
        <w:pStyle w:val="ListBullet"/>
        <w:spacing w:after="40"/>
      </w:pPr>
      <w:r>
        <w:rPr>
          <w:rFonts w:ascii="Aptos" w:hAnsi="Aptos"/>
          <w:sz w:val="19"/>
        </w:rPr>
        <w:t>Telemetry, cellular connectivity and cloud/API integration</w:t>
      </w:r>
    </w:p>
    <w:p>
      <w:pPr>
        <w:pStyle w:val="ListBullet"/>
        <w:spacing w:after="40"/>
      </w:pPr>
      <w:r>
        <w:rPr>
          <w:rFonts w:ascii="Aptos" w:hAnsi="Aptos"/>
          <w:sz w:val="19"/>
        </w:rPr>
        <w:t>Alerts, event logging, dashboards and operational visibility</w:t>
      </w:r>
    </w:p>
    <w:p>
      <w:pPr>
        <w:pStyle w:val="ListBullet"/>
        <w:spacing w:after="40"/>
      </w:pPr>
      <w:r>
        <w:rPr>
          <w:rFonts w:ascii="Aptos" w:hAnsi="Aptos"/>
          <w:sz w:val="19"/>
        </w:rPr>
        <w:t>GPS/fleet tracking and mobile-connected asset monitoring</w:t>
      </w:r>
    </w:p>
    <w:p>
      <w:pPr>
        <w:pStyle w:val="ListBullet"/>
        <w:spacing w:after="40"/>
      </w:pPr>
      <w:r>
        <w:rPr>
          <w:rFonts w:ascii="Aptos" w:hAnsi="Aptos"/>
          <w:sz w:val="19"/>
        </w:rPr>
        <w:t>Potential future integration between plant automation data and secure remote monitoring platforms</w:t>
      </w:r>
    </w:p>
    <w:p>
      <w:pPr>
        <w:spacing w:before="160" w:after="100"/>
      </w:pPr>
      <w:r>
        <w:rPr>
          <w:rFonts w:ascii="Aptos" w:hAnsi="Aptos"/>
          <w:b/>
          <w:color w:val="0FA4AF"/>
          <w:sz w:val="22"/>
        </w:rPr>
        <w:t>ARF TRACKER - IN-HOUSE IOT PRODUCT</w:t>
      </w:r>
    </w:p>
    <w:p>
      <w:pPr>
        <w:spacing w:after="100" w:line="252" w:lineRule="auto"/>
      </w:pPr>
      <w:r>
        <w:rPr>
          <w:rFonts w:ascii="Aptos" w:hAnsi="Aptos"/>
          <w:color w:val="28323C"/>
          <w:sz w:val="19"/>
        </w:rPr>
        <w:t>ARF Tracker is an in-house GPS/fleet-tracking solution being prepared for commercial launch. The platform combines vehicle tracking hardware, cellular connectivity, backend/API services and an Android client to support live location visibility, route history, vehicle status and fleet monitoring. The project demonstrates ARF Services’ ability to integrate field hardware, communications, backend services and user-facing applications.</w:t>
      </w:r>
    </w:p>
    <w:p>
      <w:pPr>
        <w:spacing w:before="160" w:after="100"/>
      </w:pPr>
      <w:r>
        <w:rPr>
          <w:rFonts w:ascii="Aptos" w:hAnsi="Aptos"/>
          <w:b/>
          <w:color w:val="0FA4AF"/>
          <w:sz w:val="22"/>
        </w:rPr>
        <w:t>TARGET INDUSTRIES</w:t>
      </w:r>
    </w:p>
    <w:tbl>
      <w:tblPr>
        <w:tblW w:type="auto" w:w="0"/>
        <w:jc w:val="center"/>
        <w:tblLayout w:type="fixed"/>
        <w:tblLook w:firstColumn="1" w:firstRow="1" w:lastColumn="0" w:lastRow="0" w:noHBand="0" w:noVBand="1" w:val="04A0"/>
      </w:tblPr>
      <w:tblGrid>
        <w:gridCol w:w="5018"/>
        <w:gridCol w:w="5018"/>
      </w:tblGrid>
      <w:tr>
        <w:tc>
          <w:tcPr>
            <w:tcW w:type="dxa" w:w="4536"/>
            <w:shd w:fill="F4F8FB"/>
            <w:tcMar>
              <w:top w:w="130" w:type="dxa"/>
              <w:start w:w="160" w:type="dxa"/>
              <w:bottom w:w="130" w:type="dxa"/>
              <w:end w:w="160" w:type="dxa"/>
            </w:tcMar>
            <w:tcBorders>
              <w:top w:val="single" w:sz="5" w:color="D9E6EF"/>
              <w:left w:val="single" w:sz="5" w:color="D9E6EF"/>
              <w:bottom w:val="single" w:sz="5" w:color="D9E6EF"/>
              <w:right w:val="single" w:sz="5" w:color="D9E6EF"/>
            </w:tcBorders>
          </w:tcPr>
          <w:p>
            <w:pPr>
              <w:spacing w:after="60"/>
            </w:pPr>
            <w:r>
              <w:rPr>
                <w:rFonts w:ascii="Aptos" w:hAnsi="Aptos"/>
                <w:b/>
                <w:color w:val="003135"/>
                <w:sz w:val="21"/>
              </w:rPr>
              <w:t>Oil &amp; Gas / Energy</w:t>
            </w:r>
          </w:p>
          <w:p>
            <w:pPr>
              <w:spacing w:after="0"/>
            </w:pPr>
            <w:r>
              <w:rPr>
                <w:rFonts w:ascii="Aptos" w:hAnsi="Aptos"/>
                <w:color w:val="46505A"/>
                <w:sz w:val="17"/>
              </w:rPr>
              <w:t>Process plants, terminals, utilities and energy assets.</w:t>
            </w:r>
          </w:p>
        </w:tc>
        <w:tc>
          <w:tcPr>
            <w:tcW w:type="dxa" w:w="4536"/>
            <w:shd w:fill="F4F8FB"/>
            <w:tcMar>
              <w:top w:w="130" w:type="dxa"/>
              <w:start w:w="160" w:type="dxa"/>
              <w:bottom w:w="130" w:type="dxa"/>
              <w:end w:w="160" w:type="dxa"/>
            </w:tcMar>
            <w:tcBorders>
              <w:top w:val="single" w:sz="5" w:color="D9E6EF"/>
              <w:left w:val="single" w:sz="5" w:color="D9E6EF"/>
              <w:bottom w:val="single" w:sz="5" w:color="D9E6EF"/>
              <w:right w:val="single" w:sz="5" w:color="D9E6EF"/>
            </w:tcBorders>
          </w:tcPr>
          <w:p>
            <w:pPr>
              <w:spacing w:after="60"/>
            </w:pPr>
            <w:r>
              <w:rPr>
                <w:rFonts w:ascii="Aptos" w:hAnsi="Aptos"/>
                <w:b/>
                <w:color w:val="003135"/>
                <w:sz w:val="21"/>
              </w:rPr>
              <w:t>Manufacturing</w:t>
            </w:r>
          </w:p>
          <w:p>
            <w:pPr>
              <w:spacing w:after="0"/>
            </w:pPr>
            <w:r>
              <w:rPr>
                <w:rFonts w:ascii="Aptos" w:hAnsi="Aptos"/>
                <w:color w:val="46505A"/>
                <w:sz w:val="17"/>
              </w:rPr>
              <w:t>Food &amp; beverage, plastics, packaging and general production.</w:t>
            </w:r>
          </w:p>
        </w:tc>
      </w:tr>
      <w:tr>
        <w:tc>
          <w:tcPr>
            <w:tcW w:type="dxa" w:w="4536"/>
            <w:shd w:fill="F4F8FB"/>
            <w:tcMar>
              <w:top w:w="130" w:type="dxa"/>
              <w:start w:w="160" w:type="dxa"/>
              <w:bottom w:w="130" w:type="dxa"/>
              <w:end w:w="160" w:type="dxa"/>
            </w:tcMar>
            <w:tcBorders>
              <w:top w:val="single" w:sz="5" w:color="D9E6EF"/>
              <w:left w:val="single" w:sz="5" w:color="D9E6EF"/>
              <w:bottom w:val="single" w:sz="5" w:color="D9E6EF"/>
              <w:right w:val="single" w:sz="5" w:color="D9E6EF"/>
            </w:tcBorders>
          </w:tcPr>
          <w:p>
            <w:pPr>
              <w:spacing w:after="60"/>
            </w:pPr>
            <w:r>
              <w:rPr>
                <w:rFonts w:ascii="Aptos" w:hAnsi="Aptos"/>
                <w:b/>
                <w:color w:val="003135"/>
                <w:sz w:val="21"/>
              </w:rPr>
              <w:t>Mining &amp; Materials</w:t>
            </w:r>
          </w:p>
          <w:p>
            <w:pPr>
              <w:spacing w:after="0"/>
            </w:pPr>
            <w:r>
              <w:rPr>
                <w:rFonts w:ascii="Aptos" w:hAnsi="Aptos"/>
                <w:color w:val="46505A"/>
                <w:sz w:val="17"/>
              </w:rPr>
              <w:t>Mining support, cement/building materials and bulk handling.</w:t>
            </w:r>
          </w:p>
        </w:tc>
        <w:tc>
          <w:tcPr>
            <w:tcW w:type="dxa" w:w="4536"/>
            <w:shd w:fill="F4F8FB"/>
            <w:tcMar>
              <w:top w:w="130" w:type="dxa"/>
              <w:start w:w="160" w:type="dxa"/>
              <w:bottom w:w="130" w:type="dxa"/>
              <w:end w:w="160" w:type="dxa"/>
            </w:tcMar>
            <w:tcBorders>
              <w:top w:val="single" w:sz="5" w:color="D9E6EF"/>
              <w:left w:val="single" w:sz="5" w:color="D9E6EF"/>
              <w:bottom w:val="single" w:sz="5" w:color="D9E6EF"/>
              <w:right w:val="single" w:sz="5" w:color="D9E6EF"/>
            </w:tcBorders>
          </w:tcPr>
          <w:p>
            <w:pPr>
              <w:spacing w:after="60"/>
            </w:pPr>
            <w:r>
              <w:rPr>
                <w:rFonts w:ascii="Aptos" w:hAnsi="Aptos"/>
                <w:b/>
                <w:color w:val="003135"/>
                <w:sz w:val="21"/>
              </w:rPr>
              <w:t>Logistics &amp; Fleet</w:t>
            </w:r>
          </w:p>
          <w:p>
            <w:pPr>
              <w:spacing w:after="0"/>
            </w:pPr>
            <w:r>
              <w:rPr>
                <w:rFonts w:ascii="Aptos" w:hAnsi="Aptos"/>
                <w:color w:val="46505A"/>
                <w:sz w:val="17"/>
              </w:rPr>
              <w:t>Vehicle, transport and distributed-asset monitoring.</w:t>
            </w:r>
          </w:p>
        </w:tc>
      </w:tr>
      <w:tr>
        <w:tc>
          <w:tcPr>
            <w:tcW w:type="dxa" w:w="4536"/>
            <w:shd w:fill="F4F8FB"/>
            <w:tcMar>
              <w:top w:w="130" w:type="dxa"/>
              <w:start w:w="160" w:type="dxa"/>
              <w:bottom w:w="130" w:type="dxa"/>
              <w:end w:w="160" w:type="dxa"/>
            </w:tcMar>
            <w:tcBorders>
              <w:top w:val="single" w:sz="5" w:color="D9E6EF"/>
              <w:left w:val="single" w:sz="5" w:color="D9E6EF"/>
              <w:bottom w:val="single" w:sz="5" w:color="D9E6EF"/>
              <w:right w:val="single" w:sz="5" w:color="D9E6EF"/>
            </w:tcBorders>
          </w:tcPr>
          <w:p>
            <w:pPr>
              <w:spacing w:after="60"/>
            </w:pPr>
            <w:r>
              <w:rPr>
                <w:rFonts w:ascii="Aptos" w:hAnsi="Aptos"/>
                <w:b/>
                <w:color w:val="003135"/>
                <w:sz w:val="21"/>
              </w:rPr>
              <w:t>Utilities</w:t>
            </w:r>
          </w:p>
          <w:p>
            <w:pPr>
              <w:spacing w:after="0"/>
            </w:pPr>
            <w:r>
              <w:rPr>
                <w:rFonts w:ascii="Aptos" w:hAnsi="Aptos"/>
                <w:color w:val="46505A"/>
                <w:sz w:val="17"/>
              </w:rPr>
              <w:t>Water, pumping, power distribution and municipal infrastructure.</w:t>
            </w:r>
          </w:p>
        </w:tc>
        <w:tc>
          <w:tcPr>
            <w:tcW w:type="dxa" w:w="4536"/>
            <w:shd w:fill="F4F8FB"/>
            <w:tcMar>
              <w:top w:w="130" w:type="dxa"/>
              <w:start w:w="160" w:type="dxa"/>
              <w:bottom w:w="130" w:type="dxa"/>
              <w:end w:w="160" w:type="dxa"/>
            </w:tcMar>
            <w:tcBorders>
              <w:top w:val="single" w:sz="5" w:color="D9E6EF"/>
              <w:left w:val="single" w:sz="5" w:color="D9E6EF"/>
              <w:bottom w:val="single" w:sz="5" w:color="D9E6EF"/>
              <w:right w:val="single" w:sz="5" w:color="D9E6EF"/>
            </w:tcBorders>
          </w:tcPr>
          <w:p>
            <w:pPr>
              <w:spacing w:after="60"/>
            </w:pPr>
            <w:r>
              <w:rPr>
                <w:rFonts w:ascii="Aptos" w:hAnsi="Aptos"/>
                <w:b/>
                <w:color w:val="003135"/>
                <w:sz w:val="21"/>
              </w:rPr>
              <w:t>Agriculture &amp; Processing</w:t>
            </w:r>
          </w:p>
          <w:p>
            <w:pPr>
              <w:spacing w:after="0"/>
            </w:pPr>
            <w:r>
              <w:rPr>
                <w:rFonts w:ascii="Aptos" w:hAnsi="Aptos"/>
                <w:color w:val="46505A"/>
                <w:sz w:val="17"/>
              </w:rPr>
              <w:t>Agro-processing, cold-chain and production equipment.</w:t>
            </w:r>
          </w:p>
        </w:tc>
      </w:tr>
    </w:tbl>
    <w:p>
      <w:r>
        <w:br w:type="page"/>
      </w:r>
    </w:p>
    <w:p>
      <w:pPr>
        <w:spacing w:before="80" w:after="160"/>
      </w:pPr>
      <w:r>
        <w:rPr>
          <w:rFonts w:ascii="Aptos Display" w:hAnsi="Aptos Display"/>
          <w:b/>
          <w:color w:val="003135"/>
          <w:sz w:val="44"/>
        </w:rPr>
        <w:t>3. Global OEM Partnership Model</w:t>
      </w:r>
    </w:p>
    <w:p>
      <w:pPr>
        <w:spacing w:after="200"/>
      </w:pPr>
      <w:r>
        <w:rPr>
          <w:rFonts w:ascii="Aptos" w:hAnsi="Aptos"/>
          <w:color w:val="4A5E6F"/>
          <w:sz w:val="20"/>
        </w:rPr>
        <w:t>ARF Services is seeking structured, performance-based partnerships rather than immediate exclusivity.</w:t>
      </w:r>
    </w:p>
    <w:p>
      <w:pPr>
        <w:spacing w:before="160" w:after="100"/>
      </w:pPr>
      <w:r>
        <w:rPr>
          <w:rFonts w:ascii="Aptos" w:hAnsi="Aptos"/>
          <w:b/>
          <w:color w:val="0FA4AF"/>
          <w:sz w:val="22"/>
        </w:rPr>
        <w:t>WHAT ARF SERVICES CAN DEVELOP LOCALLY</w:t>
      </w:r>
    </w:p>
    <w:p>
      <w:pPr>
        <w:pStyle w:val="ListBullet"/>
        <w:spacing w:after="40"/>
      </w:pPr>
      <w:r>
        <w:rPr>
          <w:rFonts w:ascii="Aptos" w:hAnsi="Aptos"/>
          <w:sz w:val="19"/>
        </w:rPr>
        <w:t>Local market development and customer introductions</w:t>
      </w:r>
    </w:p>
    <w:p>
      <w:pPr>
        <w:pStyle w:val="ListBullet"/>
        <w:spacing w:after="40"/>
      </w:pPr>
      <w:r>
        <w:rPr>
          <w:rFonts w:ascii="Aptos" w:hAnsi="Aptos"/>
          <w:sz w:val="19"/>
        </w:rPr>
        <w:t>Site visits, surveys and application discovery</w:t>
      </w:r>
    </w:p>
    <w:p>
      <w:pPr>
        <w:pStyle w:val="ListBullet"/>
        <w:spacing w:after="40"/>
      </w:pPr>
      <w:r>
        <w:rPr>
          <w:rFonts w:ascii="Aptos" w:hAnsi="Aptos"/>
          <w:sz w:val="19"/>
        </w:rPr>
        <w:t>Product positioning and quotation follow-up</w:t>
      </w:r>
    </w:p>
    <w:p>
      <w:pPr>
        <w:pStyle w:val="ListBullet"/>
        <w:spacing w:after="40"/>
      </w:pPr>
      <w:r>
        <w:rPr>
          <w:rFonts w:ascii="Aptos" w:hAnsi="Aptos"/>
          <w:sz w:val="19"/>
        </w:rPr>
        <w:t>Installation and commissioning support after training</w:t>
      </w:r>
    </w:p>
    <w:p>
      <w:pPr>
        <w:pStyle w:val="ListBullet"/>
        <w:spacing w:after="40"/>
      </w:pPr>
      <w:r>
        <w:rPr>
          <w:rFonts w:ascii="Aptos" w:hAnsi="Aptos"/>
          <w:sz w:val="19"/>
        </w:rPr>
        <w:t>First-line troubleshooting and preventive maintenance</w:t>
      </w:r>
    </w:p>
    <w:p>
      <w:pPr>
        <w:pStyle w:val="ListBullet"/>
        <w:spacing w:after="40"/>
      </w:pPr>
      <w:r>
        <w:rPr>
          <w:rFonts w:ascii="Aptos" w:hAnsi="Aptos"/>
          <w:sz w:val="19"/>
        </w:rPr>
        <w:t>Spare-parts coordination and selected local stocking</w:t>
      </w:r>
    </w:p>
    <w:p>
      <w:pPr>
        <w:pStyle w:val="ListBullet"/>
        <w:spacing w:after="40"/>
      </w:pPr>
      <w:r>
        <w:rPr>
          <w:rFonts w:ascii="Aptos" w:hAnsi="Aptos"/>
          <w:sz w:val="19"/>
        </w:rPr>
        <w:t>Service reports, customer feedback and market intelligence</w:t>
      </w:r>
    </w:p>
    <w:p>
      <w:pPr>
        <w:pStyle w:val="ListBullet"/>
        <w:spacing w:after="40"/>
      </w:pPr>
      <w:r>
        <w:rPr>
          <w:rFonts w:ascii="Aptos" w:hAnsi="Aptos"/>
          <w:sz w:val="19"/>
        </w:rPr>
        <w:t>Escalation of complex issues to OEM technical teams</w:t>
      </w:r>
    </w:p>
    <w:p>
      <w:pPr>
        <w:spacing w:before="160" w:after="100"/>
      </w:pPr>
      <w:r>
        <w:rPr>
          <w:rFonts w:ascii="Aptos" w:hAnsi="Aptos"/>
          <w:b/>
          <w:color w:val="0FA4AF"/>
          <w:sz w:val="22"/>
        </w:rPr>
        <w:t>SUPPORT REQUESTED FROM OEM PARTNERS</w:t>
      </w:r>
    </w:p>
    <w:p>
      <w:pPr>
        <w:pStyle w:val="ListBullet"/>
        <w:spacing w:after="40"/>
      </w:pPr>
      <w:r>
        <w:rPr>
          <w:rFonts w:ascii="Aptos" w:hAnsi="Aptos"/>
          <w:sz w:val="19"/>
        </w:rPr>
        <w:t>Product, application and troubleshooting training</w:t>
      </w:r>
    </w:p>
    <w:p>
      <w:pPr>
        <w:pStyle w:val="ListBullet"/>
        <w:spacing w:after="40"/>
      </w:pPr>
      <w:r>
        <w:rPr>
          <w:rFonts w:ascii="Aptos" w:hAnsi="Aptos"/>
          <w:sz w:val="19"/>
        </w:rPr>
        <w:t>Online and/or factory engineer certification</w:t>
      </w:r>
    </w:p>
    <w:p>
      <w:pPr>
        <w:pStyle w:val="ListBullet"/>
        <w:spacing w:after="40"/>
      </w:pPr>
      <w:r>
        <w:rPr>
          <w:rFonts w:ascii="Aptos" w:hAnsi="Aptos"/>
          <w:sz w:val="19"/>
        </w:rPr>
        <w:t>Technical manuals, engineering software and service documentation</w:t>
      </w:r>
    </w:p>
    <w:p>
      <w:pPr>
        <w:pStyle w:val="ListBullet"/>
        <w:spacing w:after="40"/>
      </w:pPr>
      <w:r>
        <w:rPr>
          <w:rFonts w:ascii="Aptos" w:hAnsi="Aptos"/>
          <w:sz w:val="19"/>
        </w:rPr>
        <w:t>Remote engineering support for difficult field cases</w:t>
      </w:r>
    </w:p>
    <w:p>
      <w:pPr>
        <w:pStyle w:val="ListBullet"/>
        <w:spacing w:after="40"/>
      </w:pPr>
      <w:r>
        <w:rPr>
          <w:rFonts w:ascii="Aptos" w:hAnsi="Aptos"/>
          <w:sz w:val="19"/>
        </w:rPr>
        <w:t>Distributor/dealer pricing and project quotation support</w:t>
      </w:r>
    </w:p>
    <w:p>
      <w:pPr>
        <w:pStyle w:val="ListBullet"/>
        <w:spacing w:after="40"/>
      </w:pPr>
      <w:r>
        <w:rPr>
          <w:rFonts w:ascii="Aptos" w:hAnsi="Aptos"/>
          <w:sz w:val="19"/>
        </w:rPr>
        <w:t>Demo units and practical training equipment where possible</w:t>
      </w:r>
    </w:p>
    <w:p>
      <w:pPr>
        <w:pStyle w:val="ListBullet"/>
        <w:spacing w:after="40"/>
      </w:pPr>
      <w:r>
        <w:rPr>
          <w:rFonts w:ascii="Aptos" w:hAnsi="Aptos"/>
          <w:sz w:val="19"/>
        </w:rPr>
        <w:t>Genuine spare-parts supply and recommended critical-spares lists</w:t>
      </w:r>
    </w:p>
    <w:p>
      <w:pPr>
        <w:pStyle w:val="ListBullet"/>
        <w:spacing w:after="40"/>
      </w:pPr>
      <w:r>
        <w:rPr>
          <w:rFonts w:ascii="Aptos" w:hAnsi="Aptos"/>
          <w:sz w:val="19"/>
        </w:rPr>
        <w:t>A clear path toward formal reseller / system-integrator / service authorization based on performance</w:t>
      </w:r>
    </w:p>
    <w:p>
      <w:pPr>
        <w:spacing w:before="160" w:after="100"/>
      </w:pPr>
      <w:r>
        <w:rPr>
          <w:rFonts w:ascii="Aptos" w:hAnsi="Aptos"/>
          <w:b/>
          <w:color w:val="0FA4AF"/>
          <w:sz w:val="22"/>
        </w:rPr>
        <w:t>PROPOSED PARTNERSHIP DEVELOPMENT</w:t>
      </w:r>
    </w:p>
    <w:tbl>
      <w:tblPr>
        <w:tblW w:type="auto" w:w="0"/>
        <w:jc w:val="center"/>
        <w:tblLayout w:type="fixed"/>
        <w:tblLook w:firstColumn="1" w:firstRow="1" w:lastColumn="0" w:lastRow="0" w:noHBand="0" w:noVBand="1" w:val="04A0"/>
      </w:tblPr>
      <w:tblGrid>
        <w:gridCol w:w="3346"/>
        <w:gridCol w:w="3346"/>
        <w:gridCol w:w="3346"/>
      </w:tblGrid>
      <w:tr>
        <w:tc>
          <w:tcPr>
            <w:tcW w:type="dxa" w:w="3346"/>
            <w:shd w:fill="003135"/>
            <w:tcMar>
              <w:top w:w="90" w:type="dxa"/>
              <w:start w:w="100" w:type="dxa"/>
              <w:bottom w:w="90" w:type="dxa"/>
              <w:end w:w="100" w:type="dxa"/>
            </w:tcMar>
          </w:tcPr>
          <w:p>
            <w:r>
              <w:rPr>
                <w:rFonts w:ascii="Aptos" w:hAnsi="Aptos"/>
                <w:b/>
                <w:color w:val="FFFFFF"/>
                <w:sz w:val="17"/>
              </w:rPr>
              <w:t>Stage</w:t>
            </w:r>
          </w:p>
        </w:tc>
        <w:tc>
          <w:tcPr>
            <w:tcW w:type="dxa" w:w="3346"/>
            <w:shd w:fill="003135"/>
            <w:tcMar>
              <w:top w:w="90" w:type="dxa"/>
              <w:start w:w="100" w:type="dxa"/>
              <w:bottom w:w="90" w:type="dxa"/>
              <w:end w:w="100" w:type="dxa"/>
            </w:tcMar>
          </w:tcPr>
          <w:p>
            <w:r>
              <w:rPr>
                <w:rFonts w:ascii="Aptos" w:hAnsi="Aptos"/>
                <w:b/>
                <w:color w:val="FFFFFF"/>
                <w:sz w:val="17"/>
              </w:rPr>
              <w:t>ARF Services Focus</w:t>
            </w:r>
          </w:p>
        </w:tc>
        <w:tc>
          <w:tcPr>
            <w:tcW w:type="dxa" w:w="3346"/>
            <w:shd w:fill="003135"/>
            <w:tcMar>
              <w:top w:w="90" w:type="dxa"/>
              <w:start w:w="100" w:type="dxa"/>
              <w:bottom w:w="90" w:type="dxa"/>
              <w:end w:w="100" w:type="dxa"/>
            </w:tcMar>
          </w:tcPr>
          <w:p>
            <w:r>
              <w:rPr>
                <w:rFonts w:ascii="Aptos" w:hAnsi="Aptos"/>
                <w:b/>
                <w:color w:val="FFFFFF"/>
                <w:sz w:val="17"/>
              </w:rPr>
              <w:t>OEM Support</w:t>
            </w:r>
          </w:p>
        </w:tc>
      </w:tr>
      <w:tr>
        <w:tc>
          <w:tcPr>
            <w:tcW w:type="dxa" w:w="3346"/>
            <w:shd w:fill="F5F8FA"/>
            <w:tcMar>
              <w:top w:w="90" w:type="dxa"/>
              <w:start w:w="100" w:type="dxa"/>
              <w:bottom w:w="90" w:type="dxa"/>
              <w:end w:w="100" w:type="dxa"/>
            </w:tcMar>
            <w:tcBorders>
              <w:bottom w:val="single" w:sz="4" w:color="D9E3EA"/>
            </w:tcBorders>
          </w:tcPr>
          <w:p>
            <w:r>
              <w:rPr>
                <w:rFonts w:ascii="Aptos" w:hAnsi="Aptos"/>
                <w:color w:val="37414B"/>
                <w:sz w:val="16"/>
              </w:rPr>
              <w:t>1. Training &amp; Pilot</w:t>
            </w:r>
          </w:p>
        </w:tc>
        <w:tc>
          <w:tcPr>
            <w:tcW w:type="dxa" w:w="3346"/>
            <w:shd w:fill="F5F8FA"/>
            <w:tcMar>
              <w:top w:w="90" w:type="dxa"/>
              <w:start w:w="100" w:type="dxa"/>
              <w:bottom w:w="90" w:type="dxa"/>
              <w:end w:w="100" w:type="dxa"/>
            </w:tcMar>
            <w:tcBorders>
              <w:bottom w:val="single" w:sz="4" w:color="D9E3EA"/>
            </w:tcBorders>
          </w:tcPr>
          <w:p>
            <w:r>
              <w:rPr>
                <w:rFonts w:ascii="Aptos" w:hAnsi="Aptos"/>
                <w:color w:val="37414B"/>
                <w:sz w:val="16"/>
              </w:rPr>
              <w:t>Product learning, market mapping, demo activity, first customer leads</w:t>
            </w:r>
          </w:p>
        </w:tc>
        <w:tc>
          <w:tcPr>
            <w:tcW w:type="dxa" w:w="3346"/>
            <w:shd w:fill="F5F8FA"/>
            <w:tcMar>
              <w:top w:w="90" w:type="dxa"/>
              <w:start w:w="100" w:type="dxa"/>
              <w:bottom w:w="90" w:type="dxa"/>
              <w:end w:w="100" w:type="dxa"/>
            </w:tcMar>
            <w:tcBorders>
              <w:bottom w:val="single" w:sz="4" w:color="D9E3EA"/>
            </w:tcBorders>
          </w:tcPr>
          <w:p>
            <w:r>
              <w:rPr>
                <w:rFonts w:ascii="Aptos" w:hAnsi="Aptos"/>
                <w:color w:val="37414B"/>
                <w:sz w:val="16"/>
              </w:rPr>
              <w:t>Training, manuals, software, channel pricing, remote pre-sales support</w:t>
            </w:r>
          </w:p>
        </w:tc>
      </w:tr>
      <w:tr>
        <w:tc>
          <w:tcPr>
            <w:tcW w:type="dxa" w:w="3346"/>
            <w:shd w:fill="FFFFFF"/>
            <w:tcMar>
              <w:top w:w="90" w:type="dxa"/>
              <w:start w:w="100" w:type="dxa"/>
              <w:bottom w:w="90" w:type="dxa"/>
              <w:end w:w="100" w:type="dxa"/>
            </w:tcMar>
            <w:tcBorders>
              <w:bottom w:val="single" w:sz="4" w:color="D9E3EA"/>
            </w:tcBorders>
          </w:tcPr>
          <w:p>
            <w:r>
              <w:rPr>
                <w:rFonts w:ascii="Aptos" w:hAnsi="Aptos"/>
                <w:color w:val="37414B"/>
                <w:sz w:val="16"/>
              </w:rPr>
              <w:t>2. Sales &amp; Service</w:t>
            </w:r>
          </w:p>
        </w:tc>
        <w:tc>
          <w:tcPr>
            <w:tcW w:type="dxa" w:w="3346"/>
            <w:shd w:fill="FFFFFF"/>
            <w:tcMar>
              <w:top w:w="90" w:type="dxa"/>
              <w:start w:w="100" w:type="dxa"/>
              <w:bottom w:w="90" w:type="dxa"/>
              <w:end w:w="100" w:type="dxa"/>
            </w:tcMar>
            <w:tcBorders>
              <w:bottom w:val="single" w:sz="4" w:color="D9E3EA"/>
            </w:tcBorders>
          </w:tcPr>
          <w:p>
            <w:r>
              <w:rPr>
                <w:rFonts w:ascii="Aptos" w:hAnsi="Aptos"/>
                <w:color w:val="37414B"/>
                <w:sz w:val="16"/>
              </w:rPr>
              <w:t>Customer projects, commissioning assistance, first-line support, selected spare parts</w:t>
            </w:r>
          </w:p>
        </w:tc>
        <w:tc>
          <w:tcPr>
            <w:tcW w:type="dxa" w:w="3346"/>
            <w:shd w:fill="FFFFFF"/>
            <w:tcMar>
              <w:top w:w="90" w:type="dxa"/>
              <w:start w:w="100" w:type="dxa"/>
              <w:bottom w:w="90" w:type="dxa"/>
              <w:end w:w="100" w:type="dxa"/>
            </w:tcMar>
            <w:tcBorders>
              <w:bottom w:val="single" w:sz="4" w:color="D9E3EA"/>
            </w:tcBorders>
          </w:tcPr>
          <w:p>
            <w:r>
              <w:rPr>
                <w:rFonts w:ascii="Aptos" w:hAnsi="Aptos"/>
                <w:color w:val="37414B"/>
                <w:sz w:val="16"/>
              </w:rPr>
              <w:t>Project support, field escalation, parts supply, service coaching</w:t>
            </w:r>
          </w:p>
        </w:tc>
      </w:tr>
      <w:tr>
        <w:tc>
          <w:tcPr>
            <w:tcW w:type="dxa" w:w="3346"/>
            <w:shd w:fill="F5F8FA"/>
            <w:tcMar>
              <w:top w:w="90" w:type="dxa"/>
              <w:start w:w="100" w:type="dxa"/>
              <w:bottom w:w="90" w:type="dxa"/>
              <w:end w:w="100" w:type="dxa"/>
            </w:tcMar>
            <w:tcBorders>
              <w:bottom w:val="single" w:sz="4" w:color="D9E3EA"/>
            </w:tcBorders>
          </w:tcPr>
          <w:p>
            <w:r>
              <w:rPr>
                <w:rFonts w:ascii="Aptos" w:hAnsi="Aptos"/>
                <w:color w:val="37414B"/>
                <w:sz w:val="16"/>
              </w:rPr>
              <w:t>3. Authorized Capability</w:t>
            </w:r>
          </w:p>
        </w:tc>
        <w:tc>
          <w:tcPr>
            <w:tcW w:type="dxa" w:w="3346"/>
            <w:shd w:fill="F5F8FA"/>
            <w:tcMar>
              <w:top w:w="90" w:type="dxa"/>
              <w:start w:w="100" w:type="dxa"/>
              <w:bottom w:w="90" w:type="dxa"/>
              <w:end w:w="100" w:type="dxa"/>
            </w:tcMar>
            <w:tcBorders>
              <w:bottom w:val="single" w:sz="4" w:color="D9E3EA"/>
            </w:tcBorders>
          </w:tcPr>
          <w:p>
            <w:r>
              <w:rPr>
                <w:rFonts w:ascii="Aptos" w:hAnsi="Aptos"/>
                <w:color w:val="37414B"/>
                <w:sz w:val="16"/>
              </w:rPr>
              <w:t>Formal local service/distribution role based on proven performance</w:t>
            </w:r>
          </w:p>
        </w:tc>
        <w:tc>
          <w:tcPr>
            <w:tcW w:type="dxa" w:w="3346"/>
            <w:shd w:fill="F5F8FA"/>
            <w:tcMar>
              <w:top w:w="90" w:type="dxa"/>
              <w:start w:w="100" w:type="dxa"/>
              <w:bottom w:w="90" w:type="dxa"/>
              <w:end w:w="100" w:type="dxa"/>
            </w:tcMar>
            <w:tcBorders>
              <w:bottom w:val="single" w:sz="4" w:color="D9E3EA"/>
            </w:tcBorders>
          </w:tcPr>
          <w:p>
            <w:r>
              <w:rPr>
                <w:rFonts w:ascii="Aptos" w:hAnsi="Aptos"/>
                <w:color w:val="37414B"/>
                <w:sz w:val="16"/>
              </w:rPr>
              <w:t>Authorization, advanced certification, deeper technical and commercial cooperation</w:t>
            </w:r>
          </w:p>
        </w:tc>
      </w:tr>
    </w:tbl>
    <w:p>
      <w:pPr>
        <w:spacing w:after="100" w:line="252" w:lineRule="auto"/>
      </w:pPr>
      <w:r>
        <w:rPr>
          <w:rFonts w:ascii="Aptos" w:hAnsi="Aptos"/>
          <w:color w:val="28323C"/>
          <w:sz w:val="19"/>
        </w:rPr>
        <w:t>ARF Services does not seek immediate exclusivity. The preferred approach is to begin at the partnership level appropriate to the OEM, complete required training, generate measurable opportunities, and earn deeper authorization through performance.</w:t>
      </w:r>
    </w:p>
    <w:p>
      <w:r>
        <w:br w:type="page"/>
      </w:r>
    </w:p>
    <w:p>
      <w:pPr>
        <w:spacing w:before="80" w:after="160"/>
      </w:pPr>
      <w:r>
        <w:rPr>
          <w:rFonts w:ascii="Aptos Display" w:hAnsi="Aptos Display"/>
          <w:b/>
          <w:color w:val="003135"/>
          <w:sz w:val="44"/>
        </w:rPr>
        <w:t>4. Founder &amp; Technical Background</w:t>
      </w:r>
    </w:p>
    <w:p>
      <w:pPr>
        <w:spacing w:after="200"/>
      </w:pPr>
      <w:r>
        <w:rPr>
          <w:rFonts w:ascii="Aptos" w:hAnsi="Aptos"/>
          <w:color w:val="4A5E6F"/>
          <w:sz w:val="20"/>
        </w:rPr>
        <w:t>Engineering-led business development with hands-on electronics, automation and IoT experience.</w:t>
      </w:r>
    </w:p>
    <w:p>
      <w:pPr>
        <w:spacing w:before="160" w:after="100"/>
      </w:pPr>
      <w:r>
        <w:rPr>
          <w:rFonts w:ascii="Aptos" w:hAnsi="Aptos"/>
          <w:b/>
          <w:color w:val="0FA4AF"/>
          <w:sz w:val="22"/>
        </w:rPr>
        <w:t>SYED ARIF HUSSAIN - FOUNDER / LEAD ENGINEER</w:t>
      </w:r>
    </w:p>
    <w:p>
      <w:pPr>
        <w:spacing w:after="100" w:line="252" w:lineRule="auto"/>
      </w:pPr>
      <w:r>
        <w:rPr>
          <w:rFonts w:ascii="Aptos" w:hAnsi="Aptos"/>
          <w:color w:val="28323C"/>
          <w:sz w:val="19"/>
        </w:rPr>
        <w:t>Bachelor of Engineering in Electronics (2016). Technical background includes electronics, circuit and PCB work, embedded/FPGA systems, PLC and industrial automation concepts, industrial troubleshooting, IoT integration, networking/APIs and technical project delivery.</w:t>
      </w:r>
    </w:p>
    <w:p>
      <w:pPr>
        <w:spacing w:before="160" w:after="100"/>
      </w:pPr>
      <w:r>
        <w:rPr>
          <w:rFonts w:ascii="Aptos" w:hAnsi="Aptos"/>
          <w:b/>
          <w:color w:val="0FA4AF"/>
          <w:sz w:val="22"/>
        </w:rPr>
        <w:t>RELEVANT EXPERIENCE</w:t>
      </w:r>
    </w:p>
    <w:tbl>
      <w:tblPr>
        <w:tblW w:type="auto" w:w="0"/>
        <w:jc w:val="left"/>
        <w:tblLayout w:type="fixed"/>
        <w:tblLook w:firstColumn="1" w:firstRow="1" w:lastColumn="0" w:lastRow="0" w:noHBand="0" w:noVBand="1" w:val="04A0"/>
      </w:tblPr>
      <w:tblGrid>
        <w:gridCol w:w="5018"/>
        <w:gridCol w:w="5018"/>
      </w:tblGrid>
      <w:tr>
        <w:tc>
          <w:tcPr>
            <w:tcW w:type="dxa" w:w="2664"/>
            <w:shd w:fill="AFDDE5"/>
            <w:tcMar>
              <w:top w:w="100" w:type="dxa"/>
              <w:start w:w="120" w:type="dxa"/>
              <w:bottom w:w="100" w:type="dxa"/>
              <w:end w:w="120" w:type="dxa"/>
            </w:tcMar>
          </w:tcPr>
          <w:p>
            <w:r>
              <w:rPr>
                <w:rFonts w:ascii="Aptos" w:hAnsi="Aptos"/>
                <w:b/>
                <w:color w:val="003135"/>
                <w:sz w:val="17"/>
              </w:rPr>
              <w:t>Pakistan International Airlines (2016-2019)</w:t>
            </w:r>
          </w:p>
        </w:tc>
        <w:tc>
          <w:tcPr>
            <w:tcW w:type="dxa" w:w="6624"/>
            <w:shd w:fill="FFFFFF"/>
            <w:tcMar>
              <w:top w:w="100" w:type="dxa"/>
              <w:start w:w="120" w:type="dxa"/>
              <w:bottom w:w="100" w:type="dxa"/>
              <w:end w:w="120" w:type="dxa"/>
            </w:tcMar>
          </w:tcPr>
          <w:p>
            <w:r>
              <w:rPr>
                <w:rFonts w:ascii="Aptos" w:hAnsi="Aptos"/>
                <w:color w:val="37414B"/>
                <w:sz w:val="17"/>
              </w:rPr>
              <w:t>Engineering experience in a safety-critical aviation environment, including technical documentation, maintenance support, equipment/technical coordination and structured engineering processes.</w:t>
            </w:r>
          </w:p>
        </w:tc>
      </w:tr>
    </w:tbl>
    <w:tbl>
      <w:tblPr>
        <w:tblW w:type="auto" w:w="0"/>
        <w:jc w:val="left"/>
        <w:tblLayout w:type="fixed"/>
        <w:tblLook w:firstColumn="1" w:firstRow="1" w:lastColumn="0" w:lastRow="0" w:noHBand="0" w:noVBand="1" w:val="04A0"/>
      </w:tblPr>
      <w:tblGrid>
        <w:gridCol w:w="5018"/>
        <w:gridCol w:w="5018"/>
      </w:tblGrid>
      <w:tr>
        <w:tc>
          <w:tcPr>
            <w:tcW w:type="dxa" w:w="2664"/>
            <w:shd w:fill="AFDDE5"/>
            <w:tcMar>
              <w:top w:w="100" w:type="dxa"/>
              <w:start w:w="120" w:type="dxa"/>
              <w:bottom w:w="100" w:type="dxa"/>
              <w:end w:w="120" w:type="dxa"/>
            </w:tcMar>
          </w:tcPr>
          <w:p>
            <w:r>
              <w:rPr>
                <w:rFonts w:ascii="Aptos" w:hAnsi="Aptos"/>
                <w:b/>
                <w:color w:val="003135"/>
                <w:sz w:val="17"/>
              </w:rPr>
              <w:t>Industrial / Technical Projects</w:t>
            </w:r>
          </w:p>
        </w:tc>
        <w:tc>
          <w:tcPr>
            <w:tcW w:type="dxa" w:w="6624"/>
            <w:shd w:fill="FFFFFF"/>
            <w:tcMar>
              <w:top w:w="100" w:type="dxa"/>
              <w:start w:w="120" w:type="dxa"/>
              <w:bottom w:w="100" w:type="dxa"/>
              <w:end w:w="120" w:type="dxa"/>
            </w:tcMar>
          </w:tcPr>
          <w:p>
            <w:r>
              <w:rPr>
                <w:rFonts w:ascii="Aptos" w:hAnsi="Aptos"/>
                <w:color w:val="37414B"/>
                <w:sz w:val="17"/>
              </w:rPr>
              <w:t>Exposure to PLCs, VFDs, sensors, control systems, troubleshooting methodology, embedded electronics and connected systems.</w:t>
            </w:r>
          </w:p>
        </w:tc>
      </w:tr>
    </w:tbl>
    <w:tbl>
      <w:tblPr>
        <w:tblW w:type="auto" w:w="0"/>
        <w:jc w:val="left"/>
        <w:tblLayout w:type="fixed"/>
        <w:tblLook w:firstColumn="1" w:firstRow="1" w:lastColumn="0" w:lastRow="0" w:noHBand="0" w:noVBand="1" w:val="04A0"/>
      </w:tblPr>
      <w:tblGrid>
        <w:gridCol w:w="5018"/>
        <w:gridCol w:w="5018"/>
      </w:tblGrid>
      <w:tr>
        <w:tc>
          <w:tcPr>
            <w:tcW w:type="dxa" w:w="2664"/>
            <w:shd w:fill="AFDDE5"/>
            <w:tcMar>
              <w:top w:w="100" w:type="dxa"/>
              <w:start w:w="120" w:type="dxa"/>
              <w:bottom w:w="100" w:type="dxa"/>
              <w:end w:w="120" w:type="dxa"/>
            </w:tcMar>
          </w:tcPr>
          <w:p>
            <w:r>
              <w:rPr>
                <w:rFonts w:ascii="Aptos" w:hAnsi="Aptos"/>
                <w:b/>
                <w:color w:val="003135"/>
                <w:sz w:val="17"/>
              </w:rPr>
              <w:t>ARF Tracker</w:t>
            </w:r>
          </w:p>
        </w:tc>
        <w:tc>
          <w:tcPr>
            <w:tcW w:type="dxa" w:w="6624"/>
            <w:shd w:fill="FFFFFF"/>
            <w:tcMar>
              <w:top w:w="100" w:type="dxa"/>
              <w:start w:w="120" w:type="dxa"/>
              <w:bottom w:w="100" w:type="dxa"/>
              <w:end w:w="120" w:type="dxa"/>
            </w:tcMar>
          </w:tcPr>
          <w:p>
            <w:r>
              <w:rPr>
                <w:rFonts w:ascii="Aptos" w:hAnsi="Aptos"/>
                <w:color w:val="37414B"/>
                <w:sz w:val="17"/>
              </w:rPr>
              <w:t>Development of an end-to-end GPS/IoT fleet-tracking platform integrating field hardware, cellular communications, backend/API services and an Android client.</w:t>
            </w:r>
          </w:p>
        </w:tc>
      </w:tr>
    </w:tbl>
    <w:tbl>
      <w:tblPr>
        <w:tblW w:type="auto" w:w="0"/>
        <w:jc w:val="left"/>
        <w:tblLayout w:type="fixed"/>
        <w:tblLook w:firstColumn="1" w:firstRow="1" w:lastColumn="0" w:lastRow="0" w:noHBand="0" w:noVBand="1" w:val="04A0"/>
      </w:tblPr>
      <w:tblGrid>
        <w:gridCol w:w="5018"/>
        <w:gridCol w:w="5018"/>
      </w:tblGrid>
      <w:tr>
        <w:tc>
          <w:tcPr>
            <w:tcW w:type="dxa" w:w="2664"/>
            <w:shd w:fill="AFDDE5"/>
            <w:tcMar>
              <w:top w:w="100" w:type="dxa"/>
              <w:start w:w="120" w:type="dxa"/>
              <w:bottom w:w="100" w:type="dxa"/>
              <w:end w:w="120" w:type="dxa"/>
            </w:tcMar>
          </w:tcPr>
          <w:p>
            <w:r>
              <w:rPr>
                <w:rFonts w:ascii="Aptos" w:hAnsi="Aptos"/>
                <w:b/>
                <w:color w:val="003135"/>
                <w:sz w:val="17"/>
              </w:rPr>
              <w:t>Research</w:t>
            </w:r>
          </w:p>
        </w:tc>
        <w:tc>
          <w:tcPr>
            <w:tcW w:type="dxa" w:w="6624"/>
            <w:shd w:fill="FFFFFF"/>
            <w:tcMar>
              <w:top w:w="100" w:type="dxa"/>
              <w:start w:w="120" w:type="dxa"/>
              <w:bottom w:w="100" w:type="dxa"/>
              <w:end w:w="120" w:type="dxa"/>
            </w:tcMar>
          </w:tcPr>
          <w:p>
            <w:r>
              <w:rPr>
                <w:rFonts w:ascii="Aptos" w:hAnsi="Aptos"/>
                <w:color w:val="37414B"/>
                <w:sz w:val="17"/>
              </w:rPr>
              <w:t>Author of “Field Emission Energy Harvesting,” accepted for presentation at IEEE NMDC 2026. Proceedings publication remains pending conference author-registration/final-submission requirements.</w:t>
            </w:r>
          </w:p>
        </w:tc>
      </w:tr>
    </w:tbl>
    <w:p>
      <w:pPr>
        <w:spacing w:before="160" w:after="100"/>
      </w:pPr>
      <w:r>
        <w:rPr>
          <w:rFonts w:ascii="Aptos" w:hAnsi="Aptos"/>
          <w:b/>
          <w:color w:val="0FA4AF"/>
          <w:sz w:val="22"/>
        </w:rPr>
        <w:t>PARTNERSHIP OBJECTIVE</w:t>
      </w:r>
    </w:p>
    <w:p>
      <w:pPr>
        <w:spacing w:after="100" w:line="252" w:lineRule="auto"/>
      </w:pPr>
      <w:r>
        <w:rPr>
          <w:rFonts w:ascii="Aptos" w:hAnsi="Aptos"/>
          <w:color w:val="28323C"/>
          <w:sz w:val="19"/>
        </w:rPr>
        <w:t>ARF Services is seeking global manufacturers and regional technology companies that want a responsive local partner in Mozambique. The immediate objective is to build technical capability through training and pilot projects, then progress toward a formal sales, integration and after-sales relationship supported by measurable market activity.</w:t>
      </w:r>
    </w:p>
    <w:tbl>
      <w:tblPr>
        <w:tblW w:type="auto" w:w="0"/>
        <w:jc w:val="center"/>
        <w:tblLook w:firstColumn="1" w:firstRow="1" w:lastColumn="0" w:lastRow="0" w:noHBand="0" w:noVBand="1" w:val="04A0"/>
      </w:tblPr>
      <w:tblGrid>
        <w:gridCol w:w="10037"/>
      </w:tblGrid>
      <w:tr>
        <w:tc>
          <w:tcPr>
            <w:tcW w:type="dxa" w:w="10037"/>
            <w:shd w:fill="003135"/>
            <w:tcMar>
              <w:top w:w="180" w:type="dxa"/>
              <w:start w:w="220" w:type="dxa"/>
              <w:bottom w:w="180" w:type="dxa"/>
              <w:end w:w="220" w:type="dxa"/>
            </w:tcMar>
          </w:tcPr>
          <w:p>
            <w:pPr>
              <w:jc w:val="center"/>
            </w:pPr>
            <w:r>
              <w:rPr>
                <w:rFonts w:ascii="Aptos" w:hAnsi="Aptos"/>
                <w:b/>
                <w:color w:val="FFFFFF"/>
                <w:sz w:val="24"/>
              </w:rPr>
              <w:t>LET’S BUILD LOCAL INDUSTRIAL SUPPORT IN MOZAMBIQUE</w:t>
            </w:r>
          </w:p>
          <w:p>
            <w:pPr>
              <w:jc w:val="center"/>
            </w:pPr>
            <w:r>
              <w:rPr>
                <w:rFonts w:ascii="Aptos" w:hAnsi="Aptos"/>
                <w:color w:val="D9F0F2"/>
                <w:sz w:val="18"/>
              </w:rPr>
              <w:t>Syed Arif Hussain  |  Nampula, Mozambique  |  +258 861 690 706  |  tryarfsol@gmail.com</w:t>
            </w:r>
          </w:p>
          <w:p>
            <w:pPr>
              <w:jc w:val="center"/>
            </w:pPr>
            <w:r>
              <w:rPr>
                <w:rFonts w:ascii="Aptos" w:hAnsi="Aptos"/>
                <w:color w:val="AFDDE5"/>
                <w:sz w:val="17"/>
              </w:rPr>
              <w:t>Website: in development</w:t>
            </w:r>
          </w:p>
        </w:tc>
      </w:tr>
    </w:tbl>
    <w:sectPr w:rsidR="00FC693F" w:rsidRPr="0006063C" w:rsidSect="00034616">
      <w:headerReference w:type="default" r:id="rId9"/>
      <w:footerReference w:type="default" r:id="rId10"/>
      <w:pgSz w:w="11909" w:h="16834"/>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left"/>
    </w:pPr>
    <w:r>
      <w:rPr>
        <w:rFonts w:ascii="Aptos" w:hAnsi="Aptos"/>
        <w:color w:val="78828C"/>
        <w:sz w:val="15"/>
      </w:rPr>
      <w:t>Nampula, Mozambique  •  tryarfsol@gmail.com  •  +258 861 690 706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color w:val="78828C"/>
        <w:sz w:val="16"/>
      </w:rPr>
      <w:t>ARF SERVICES  |  COMPANY PROFILE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Aptos" w:hAnsi="Aptos"/>
      <w:sz w:val="18"/>
    </w:rPr>
  </w:style>
  <w:style w:type="paragraph" w:styleId="ListBullet2">
    <w:name w:val="List Bullet 2"/>
    <w:basedOn w:val="Normal"/>
    <w:uiPriority w:val="99"/>
    <w:unhideWhenUsed/>
    <w:rsid w:val="00326F90"/>
    <w:pPr>
      <w:numPr>
        <w:numId w:val="2"/>
      </w:numPr>
      <w:contextualSpacing/>
    </w:pPr>
    <w:rPr>
      <w:rFonts w:ascii="Aptos" w:hAnsi="Aptos"/>
      <w:sz w:val="18"/>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ARF Services Company Profile</dc:title>
  <dc:subject>Industrial Automation, IoT and Technical Services - Mozambique</dc:subject>
  <dc:creator>ARF Services</dc:creator>
  <cp:keywords>Industrial Automation, IoT, Mozambique, PLC, DCS, VFD, Technical Service, OEM Partnership</cp:keywords>
  <dc:description>generated by python-docx</dc:description>
  <cp:lastModifiedBy/>
  <cp:revision>1</cp:revision>
  <dcterms:created xsi:type="dcterms:W3CDTF">2013-12-23T23:15:00Z</dcterms:created>
  <dcterms:modified xsi:type="dcterms:W3CDTF">2013-12-23T23:15:00Z</dcterms:modified>
  <cp:category/>
</cp:coreProperties>
</file>